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  <w:lang w:val="en-US" w:eastAsia="zh-CN"/>
        </w:rPr>
        <w:t>B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ackground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  <w:t>nformation</w:t>
      </w:r>
    </w:p>
    <w:p>
      <w:pPr>
        <w:widowControl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</w:pPr>
    </w:p>
    <w:tbl>
      <w:tblPr>
        <w:tblStyle w:val="3"/>
        <w:tblW w:w="10607" w:type="dxa"/>
        <w:jc w:val="center"/>
        <w:tblInd w:w="-20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 Number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T005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148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default" w:ascii="Cambria" w:hAnsi="Cambria" w:eastAsia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B6/JNju-Btrc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vertAlign w:val="superscript"/>
              </w:rPr>
              <w:t>em1Cflox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Gpt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Used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ascii="Cambria" w:hAnsi="Cambria" w:eastAsia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HOS; FWD1; Fbw1a; Slimb; b-TrCP; beta-TrCP; Beta-Trcp1; SCF b-TRCP; E3RSIkappaB; E3RS-IkappaB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Common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Btrc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Complete time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b w:val="0"/>
                <w:bCs/>
                <w:sz w:val="18"/>
                <w:szCs w:val="18"/>
              </w:rPr>
              <w:t>201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9/2/27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Type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Conditional </w:t>
            </w:r>
            <w:r>
              <w:rPr>
                <w:b w:val="0"/>
                <w:bCs/>
                <w:sz w:val="18"/>
                <w:szCs w:val="18"/>
              </w:rPr>
              <w:t>Knock out Cas9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origin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Gempharmatech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Background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C57BL/6J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lgebra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F1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appearance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Black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Related gene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Btrc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genotype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Fl/wt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Provid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ed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 genotype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Heterozygote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Targeting Strategy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drawing>
                <wp:inline distT="0" distB="0" distL="114300" distR="114300">
                  <wp:extent cx="5270500" cy="2307590"/>
                  <wp:effectExtent l="0" t="0" r="6350" b="165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230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sgRNA</w:t>
            </w:r>
            <w:bookmarkStart w:id="7" w:name="_GoBack"/>
            <w:bookmarkEnd w:id="7"/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</w:pPr>
            <w:r>
              <w:rPr>
                <w:rFonts w:hint="eastAsia"/>
              </w:rPr>
              <w:t xml:space="preserve">TCTGTGCGTCACCATAGGTT AGG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CAGAGCTTCGTAGGAACGAC GGG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Breeding method（</w:t>
            </w:r>
            <w:r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x</w:t>
            </w:r>
            <w:r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♀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）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status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frozen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Genotyping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eastAsia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</w:rPr>
              <w:t>PCR+Sequenc</w:t>
            </w: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Special feeding conditions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None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bookmarkStart w:id="0" w:name="OLE_LINK9" w:colFirst="0" w:colLast="1"/>
            <w:bookmarkStart w:id="1" w:name="_Hlk410726361"/>
            <w:bookmarkStart w:id="2" w:name="OLE_LINK10" w:colFirst="0" w:colLast="1"/>
            <w:bookmarkStart w:id="3" w:name="OLE_LINK5" w:colFirst="0" w:colLast="1"/>
            <w:bookmarkStart w:id="4" w:name="OLE_LINK4" w:colFirst="0" w:colLast="1"/>
            <w:bookmarkStart w:id="5" w:name="OLE_LINK11" w:colFirst="0" w:colLast="1"/>
            <w:bookmarkStart w:id="6" w:name="OLE_LINK8" w:colFirst="0" w:colLast="1"/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feed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SPF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maternal instinct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general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Strain description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Embryonic fibroblasts from homozygotes show an increase in polyploidy and apoptosis and decreased cell proliferation. In a second allele, homozygous mutation results in reduced male fertility and abnormal male meiosis with oligozoospermia.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Research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areas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Reproductive system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Reference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F752D"/>
    <w:rsid w:val="06B742A8"/>
    <w:rsid w:val="146069C5"/>
    <w:rsid w:val="211D01D4"/>
    <w:rsid w:val="21965A12"/>
    <w:rsid w:val="292321F8"/>
    <w:rsid w:val="2E412029"/>
    <w:rsid w:val="3AF543C4"/>
    <w:rsid w:val="401E0946"/>
    <w:rsid w:val="40296C3F"/>
    <w:rsid w:val="4B1F675A"/>
    <w:rsid w:val="59D00BAF"/>
    <w:rsid w:val="5E830FE3"/>
    <w:rsid w:val="688118E4"/>
    <w:rsid w:val="6CB1532D"/>
    <w:rsid w:val="738349D5"/>
    <w:rsid w:val="757F752D"/>
    <w:rsid w:val="7B1B2419"/>
    <w:rsid w:val="7E33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2018-12-10T03:46:00Z</dcterms:created>
  <dc:creator>Administrator</dc:creator>
  <cp:lastModifiedBy>Administrator</cp:lastModifiedBy>
  <dcterms:modified xsi:type="dcterms:W3CDTF">2019-04-17T13:47:50Z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